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A6C7A"/>
          <w:sz w:val="42"/>
        </w:rPr>
        <w:t>Noahide Laws - A Biblical Reality Check</w:t>
      </w:r>
    </w:p>
    <w:p>
      <w:pPr>
        <w:spacing w:after="60"/>
      </w:pPr>
      <w:r>
        <w:t>HIGH-LEVEL STUDY GUIDE</w:t>
      </w:r>
    </w:p>
    <w:p>
      <w:pPr>
        <w:spacing w:after="60"/>
      </w:pPr>
      <w:r>
        <w:t>Finding the Ancient Path</w:t>
      </w:r>
    </w:p>
    <w:p>
      <w:pPr>
        <w:spacing w:after="60"/>
      </w:pPr>
      <w:r>
        <w:t>https://www.youtube.com/watch?v=BR3U9VijxRI</w:t>
      </w:r>
    </w:p>
    <w:p>
      <w:pPr>
        <w:pStyle w:val="Heading1"/>
      </w:pPr>
      <w:r>
        <w:t>Teaching Summary</w:t>
      </w:r>
    </w:p>
    <w:p>
      <w:r>
        <w:t>This Teaching examines the traditional seven Noahide laws and whether Scripture presents them as a separate, universally binding code for Gentiles. The speaker reads Genesis 9, compares its stated commands with the later seven-part formulation, and argues that Yehovah's character, impartial judgment, and instructions for Israel and the stranger do not support separating believers into permanently different covenant standards. The Teaching also discusses rabbinic literature, concerns about purported future enforcement, and questions from the fellowship.</w:t>
      </w:r>
    </w:p>
    <w:p>
      <w:pPr>
        <w:pStyle w:val="Heading1"/>
      </w:pPr>
      <w:r>
        <w:t>Important Framing</w:t>
      </w:r>
    </w:p>
    <w:p>
      <w:r>
        <w:t>Source-faithfulness note: The speaker strongly disputes the Noahide-law framework and discusses claims about rabbinic motives, historical development, end-times enforcement, and political influence. These statements are presented as his assertions, not as independently established facts. The traditional Seven Laws of Noah are a real rabbinic teaching; its precise textual derivation, audience, and modern applications are disputed. The transcript contains claims about Jews and Judaism that should not be generalized to Jewish people, and claims of worldwide coercive laws or beheadings are not established by the biblical passages cited. Genesis 2:16 is occasionally transcribed as 'Genesis 21:16'; this source-caption problem is flagged here rather than silently rewriting the transcript.</w:t>
      </w:r>
    </w:p>
    <w:p>
      <w:pPr>
        <w:pStyle w:val="Heading1"/>
      </w:pPr>
      <w:r>
        <w:t>Key Scriptures</w:t>
      </w:r>
    </w:p>
    <w:p>
      <w:pPr>
        <w:pStyle w:val="ListBullet"/>
      </w:pPr>
      <w:r>
        <w:t>Genesis 2:16-17 - The command concerning the tree precedes Noah; the speaker critiques attempts to derive later legal categories from this narrative.</w:t>
      </w:r>
    </w:p>
    <w:p>
      <w:pPr>
        <w:pStyle w:val="ListBullet"/>
      </w:pPr>
      <w:r>
        <w:t>Genesis 2:24 - Marriage is established in Genesis; the Teaching discusses its use in later accounts of sexual ethics.</w:t>
      </w:r>
    </w:p>
    <w:p>
      <w:pPr>
        <w:pStyle w:val="ListBullet"/>
      </w:pPr>
      <w:r>
        <w:t>Genesis 9:1-7 - Central source passage: Noah receives instructions about filling the earth, the blood of living creatures, and the taking of human life.</w:t>
      </w:r>
    </w:p>
    <w:p>
      <w:pPr>
        <w:pStyle w:val="ListBullet"/>
      </w:pPr>
      <w:r>
        <w:t>Genesis 9:4 - Explicit restriction about consuming flesh with its life or blood; the speaker contrasts this with the fuller seven-law list.</w:t>
      </w:r>
    </w:p>
    <w:p>
      <w:pPr>
        <w:pStyle w:val="ListBullet"/>
      </w:pPr>
      <w:r>
        <w:t>Genesis 9:5-6 - Yehovah calls for accountability for shedding human blood; the Teaching treats this as a direct foundation for prohibiting murder.</w:t>
      </w:r>
    </w:p>
    <w:p>
      <w:pPr>
        <w:pStyle w:val="ListBullet"/>
      </w:pPr>
      <w:r>
        <w:t>Malachi 3:6 - The speaker appeals to Yehovah’s unchanging character when evaluating the idea of differing standards.</w:t>
      </w:r>
    </w:p>
    <w:p>
      <w:pPr>
        <w:pStyle w:val="ListBullet"/>
      </w:pPr>
      <w:r>
        <w:t>Psalm 102:25-27 - God’s enduring identity is used as a complementary passage in the first objection.</w:t>
      </w:r>
    </w:p>
    <w:p>
      <w:pPr>
        <w:pStyle w:val="ListBullet"/>
      </w:pPr>
      <w:r>
        <w:t>James 1:17 - The speaker connects the absence of variation in the Father with the reliability of divine instruction.</w:t>
      </w:r>
    </w:p>
    <w:p>
      <w:pPr>
        <w:pStyle w:val="ListBullet"/>
      </w:pPr>
      <w:r>
        <w:t>Deuteronomy 10:17-19 - Yehovah shows no partiality and loves the stranger; this supports the speaker’s emphasis on equal treatment.</w:t>
      </w:r>
    </w:p>
    <w:p>
      <w:pPr>
        <w:pStyle w:val="ListBullet"/>
      </w:pPr>
      <w:r>
        <w:t>Acts 10:28-35 - Peter’s encounter involving Cornelius is cited to show that Yehovah shows no partiality among nations.</w:t>
      </w:r>
    </w:p>
    <w:p>
      <w:pPr>
        <w:pStyle w:val="ListBullet"/>
      </w:pPr>
      <w:r>
        <w:t>Romans 2:11 - Paul’s statement that God shows no partiality is another anchor in the speaker’s reasoning.</w:t>
      </w:r>
    </w:p>
    <w:p>
      <w:pPr>
        <w:pStyle w:val="ListBullet"/>
      </w:pPr>
      <w:r>
        <w:t>Numbers 15:15-16 - A common ordinance for the assembly and the stranger is central to the speaker’s argument about covenant participation.</w:t>
      </w:r>
    </w:p>
    <w:p>
      <w:pPr>
        <w:pStyle w:val="ListBullet"/>
      </w:pPr>
      <w:r>
        <w:t>Mark 7:6-13 - Yeshua’s criticism of traditions that set aside God’s command is used by analogy; the application to Noahide laws is the speaker’s interpretation.</w:t>
      </w:r>
    </w:p>
    <w:p>
      <w:pPr>
        <w:pStyle w:val="ListBullet"/>
      </w:pPr>
      <w:r>
        <w:t>Deuteronomy 13:1-5 - A warning against following a prophet who draws people toward other gods, used as a test for teaching and prophecy.</w:t>
      </w:r>
    </w:p>
    <w:p>
      <w:pPr>
        <w:pStyle w:val="ListBullet"/>
      </w:pPr>
      <w:r>
        <w:t>Deuteronomy 18:20-22 - Tests of presumptuous prophetic speech underpin the speaker’s rejection of alarming end-times predictions.</w:t>
      </w:r>
    </w:p>
    <w:p>
      <w:pPr>
        <w:pStyle w:val="ListBullet"/>
      </w:pPr>
      <w:r>
        <w:t>Revelation 13:11-17 - The speaker contrasts the beast’s required worship with claims that the seven Noahide laws form its future code.</w:t>
      </w:r>
    </w:p>
    <w:p>
      <w:pPr>
        <w:pStyle w:val="ListBullet"/>
      </w:pPr>
      <w:r>
        <w:t>Revelation 20:4 - Those persecuted for testimony to Yeshua are distinguished from unverified claims of Noahide-law enforcement.</w:t>
      </w:r>
    </w:p>
    <w:p>
      <w:pPr>
        <w:pStyle w:val="ListBullet"/>
      </w:pPr>
      <w:r>
        <w:t>Exodus 18:13-26 - Jethro’s advice about judges is cited as a discussion of how adjudication works within Torah.</w:t>
      </w:r>
    </w:p>
    <w:p>
      <w:pPr>
        <w:pStyle w:val="ListBullet"/>
      </w:pPr>
      <w:r>
        <w:t>Leviticus 19:33-34 - The command to love the stranger gives additional biblical context to the speaker’s concern for impartiality.</w:t>
      </w:r>
    </w:p>
    <w:p>
      <w:pPr>
        <w:pStyle w:val="ListBullet"/>
      </w:pPr>
      <w:r>
        <w:t>Exodus 12:48-49 - The Passover ordinance distinguishes circumstances of participation while speaking of one law for native and stranger.</w:t>
      </w:r>
    </w:p>
    <w:p>
      <w:pPr>
        <w:pStyle w:val="ListBullet"/>
      </w:pPr>
      <w:r>
        <w:t>Genesis 7:2-3 - Noah knows clean and unclean animals, a passage the Teaching connects to instructions existing before Sinai.</w:t>
      </w:r>
    </w:p>
    <w:p>
      <w:pPr>
        <w:pStyle w:val="ListBullet"/>
      </w:pPr>
      <w:r>
        <w:t>Genesis 8:20 - Noah offers burnt offerings after the flood; the speaker points to this as pre-Sinai worship practice.</w:t>
      </w:r>
    </w:p>
    <w:p>
      <w:pPr>
        <w:pStyle w:val="ListBullet"/>
      </w:pPr>
      <w:r>
        <w:t>Genesis 26:5 - Abraham is described as keeping God’s charge, commandments, statutes, and laws before Sinai.</w:t>
      </w:r>
    </w:p>
    <w:p>
      <w:pPr>
        <w:pStyle w:val="ListBullet"/>
      </w:pPr>
      <w:r>
        <w:t>1 Thessalonians 5:21 - Testing all things is invoked to encourage examination of competing claims against Scripture.</w:t>
      </w:r>
    </w:p>
    <w:p>
      <w:pPr>
        <w:pStyle w:val="Heading1"/>
      </w:pPr>
      <w:r>
        <w:t>Study Sections</w:t>
      </w:r>
    </w:p>
    <w:p>
      <w:pPr>
        <w:pStyle w:val="Heading2"/>
      </w:pPr>
      <w:r>
        <w:t>The opening objections</w:t>
      </w:r>
    </w:p>
    <w:p>
      <w:r>
        <w:t>The speaker places Yehovah’s unchanging character and impartiality at the center of his criticism of a separately prescribed seven-law standard for Gentiles.</w:t>
      </w:r>
    </w:p>
    <w:p>
      <w:r>
        <w:t>Read: Malachi 3:6, Deuteronomy 10:17-19, Romans 2:11</w:t>
      </w:r>
    </w:p>
    <w:p>
      <w:pPr>
        <w:pStyle w:val="Heading2"/>
      </w:pPr>
      <w:r>
        <w:t>What Genesis 9 states</w:t>
      </w:r>
    </w:p>
    <w:p>
      <w:r>
        <w:t>A comparison of commands in Genesis 9 with the conventional seven-law list forms the core of the textual argument.</w:t>
      </w:r>
    </w:p>
    <w:p>
      <w:r>
        <w:t>Read: Genesis 9:1-7, Genesis 9:4, Genesis 9:5-6</w:t>
      </w:r>
    </w:p>
    <w:p>
      <w:pPr>
        <w:pStyle w:val="Heading2"/>
      </w:pPr>
      <w:r>
        <w:t>Later interpretation and tradition</w:t>
      </w:r>
    </w:p>
    <w:p>
      <w:r>
        <w:t>The speaker describes the historical formation of the Noahide tradition and cautions against elevating interpretation above the written text. The timeline is not independently validated.</w:t>
      </w:r>
    </w:p>
    <w:p>
      <w:r>
        <w:t>Read: Mark 7:6-13, Genesis 2:16-17</w:t>
      </w:r>
    </w:p>
    <w:p>
      <w:pPr>
        <w:pStyle w:val="Heading2"/>
      </w:pPr>
      <w:r>
        <w:t>One ordinance and the stranger</w:t>
      </w:r>
    </w:p>
    <w:p>
      <w:r>
        <w:t>The discussion uses the language of Numbers 15 to argue for a shared standard while recognizing the context of the covenant community.</w:t>
      </w:r>
    </w:p>
    <w:p>
      <w:r>
        <w:t>Read: Numbers 15:15-16, Leviticus 19:33-34</w:t>
      </w:r>
    </w:p>
    <w:p>
      <w:pPr>
        <w:pStyle w:val="Heading2"/>
      </w:pPr>
      <w:r>
        <w:t>Testing claims about the future</w:t>
      </w:r>
    </w:p>
    <w:p>
      <w:r>
        <w:t>Warnings about false prophecy and Revelation are applied to unsupported predictions of a coercive Noahide system; the existence of that future system is not established.</w:t>
      </w:r>
    </w:p>
    <w:p>
      <w:r>
        <w:t>Read: Deuteronomy 13:1-5, Deuteronomy 18:20-22, Revelation 13:11-17</w:t>
      </w:r>
    </w:p>
    <w:p>
      <w:pPr>
        <w:pStyle w:val="Heading2"/>
      </w:pPr>
      <w:r>
        <w:t>Q&amp;A and continuity before Sinai</w:t>
      </w:r>
    </w:p>
    <w:p>
      <w:r>
        <w:t>Participants explore pre-Sinai law, the place of Gentiles, and how to distinguish direct biblical instructions from extrapolation.</w:t>
      </w:r>
    </w:p>
    <w:p>
      <w:r>
        <w:t>Read: Genesis 7:2-3, Genesis 26:5, 1 Thessalonians 5:21</w:t>
      </w:r>
    </w:p>
    <w:p>
      <w:pPr>
        <w:pStyle w:val="Heading1"/>
      </w:pPr>
      <w:r>
        <w:t>Key Takeaways</w:t>
      </w:r>
    </w:p>
    <w:p>
      <w:pPr>
        <w:pStyle w:val="ListBullet"/>
      </w:pPr>
      <w:r>
        <w:t>The speaker distinguishes explicit biblical instructions from a later systematized seven-part Noahide list.</w:t>
      </w:r>
    </w:p>
    <w:p>
      <w:pPr>
        <w:pStyle w:val="ListBullet"/>
      </w:pPr>
      <w:r>
        <w:t>Genesis 9 is read closely to identify the instructions actually stated to Noah and his descendants.</w:t>
      </w:r>
    </w:p>
    <w:p>
      <w:pPr>
        <w:pStyle w:val="ListBullet"/>
      </w:pPr>
      <w:r>
        <w:t>Yehovah’s unchanging character and lack of partiality are the speaker’s two initial objections.</w:t>
      </w:r>
    </w:p>
    <w:p>
      <w:pPr>
        <w:pStyle w:val="ListBullet"/>
      </w:pPr>
      <w:r>
        <w:t>Numbers 15:15-16 is presented as a significant statement about shared instructions for Israel and the stranger.</w:t>
      </w:r>
    </w:p>
    <w:p>
      <w:pPr>
        <w:pStyle w:val="ListBullet"/>
      </w:pPr>
      <w:r>
        <w:t>The discussion rejects using fear-based predictions to substitute for biblical examination.</w:t>
      </w:r>
    </w:p>
    <w:p>
      <w:pPr>
        <w:pStyle w:val="ListBullet"/>
      </w:pPr>
      <w:r>
        <w:t>The Teaching links this issue to the next study, Torah Before The Tables, and the question of instruction before Sinai.</w:t>
      </w:r>
    </w:p>
    <w:p>
      <w:pPr>
        <w:pStyle w:val="ListBullet"/>
      </w:pPr>
      <w:r>
        <w:t>The fellowship is invited to challenge the presenter’s reading and bring further Scripture.</w:t>
      </w:r>
    </w:p>
    <w:p>
      <w:pPr>
        <w:pStyle w:val="ListBullet"/>
      </w:pPr>
      <w:r>
        <w:t>Some claims concerning Jewish texts, religious communities, and future politics remain unverified and are not biblical quotations.</w:t>
      </w:r>
    </w:p>
    <w:p>
      <w:pPr>
        <w:pStyle w:val="Heading1"/>
      </w:pPr>
      <w:r>
        <w:t>Study &amp; Reflection Questions</w:t>
      </w:r>
    </w:p>
    <w:p>
      <w:pPr>
        <w:pStyle w:val="ListNumber"/>
      </w:pPr>
      <w:r>
        <w:t>Are the Seven Noahide Laws listed together in Genesis 9?  (Genesis 9:1-7)</w:t>
      </w:r>
    </w:p>
    <w:p>
      <w:pPr>
        <w:pStyle w:val="ListNumber"/>
      </w:pPr>
      <w:r>
        <w:t>Which instructions to Noah are explicit in Genesis 9?  (Genesis 9:1-7)</w:t>
      </w:r>
    </w:p>
    <w:p>
      <w:pPr>
        <w:pStyle w:val="ListNumber"/>
      </w:pPr>
      <w:r>
        <w:t>What is the meaning of the prohibition on eating flesh with blood?  (Genesis 9:4)</w:t>
      </w:r>
    </w:p>
    <w:p>
      <w:pPr>
        <w:pStyle w:val="ListNumber"/>
      </w:pPr>
      <w:r>
        <w:t>What does Genesis 9 teach about taking human life?  (Genesis 9:5-6)</w:t>
      </w:r>
    </w:p>
    <w:p>
      <w:pPr>
        <w:pStyle w:val="ListNumber"/>
      </w:pPr>
      <w:r>
        <w:t>Does Genesis 9 explicitly enumerate laws against theft and blasphemy?  (Genesis 9:1-7)</w:t>
      </w:r>
    </w:p>
    <w:p>
      <w:pPr>
        <w:pStyle w:val="ListNumber"/>
      </w:pPr>
      <w:r>
        <w:t>What is the speaker’s first objection to a separate Noahide code?  (Malachi 3:6)</w:t>
      </w:r>
    </w:p>
    <w:p>
      <w:pPr>
        <w:pStyle w:val="ListNumber"/>
      </w:pPr>
      <w:r>
        <w:t>How is God’s impartiality used in the Teaching?  (Deuteronomy 10:17-19;Acts 10:34-35;Romans 2:11)</w:t>
      </w:r>
    </w:p>
    <w:p>
      <w:pPr>
        <w:pStyle w:val="ListNumber"/>
      </w:pPr>
      <w:r>
        <w:t>What does Numbers 15 say about Israel and the stranger?  (Numbers 15:15-16)</w:t>
      </w:r>
    </w:p>
    <w:p>
      <w:pPr>
        <w:pStyle w:val="ListNumber"/>
      </w:pPr>
      <w:r>
        <w:t>Why does the speaker discuss the tradition of men?  (Mark 7:6-13)</w:t>
      </w:r>
    </w:p>
    <w:p>
      <w:pPr>
        <w:pStyle w:val="ListNumber"/>
      </w:pPr>
      <w:r>
        <w:t>How should later religious commentary be compared with the Torah?  (Genesis 9:1-7;Mark 7:6-13)</w:t>
      </w:r>
    </w:p>
    <w:p>
      <w:pPr>
        <w:pStyle w:val="ListNumber"/>
      </w:pPr>
      <w:r>
        <w:t>What role does Peter’s vision play in the argument?  (Acts 10:28-35)</w:t>
      </w:r>
    </w:p>
    <w:p>
      <w:pPr>
        <w:pStyle w:val="ListNumber"/>
      </w:pPr>
      <w:r>
        <w:t>What does Deuteronomy 13 instruct believers to test?  (Deuteronomy 13:1-5)</w:t>
      </w:r>
    </w:p>
    <w:p>
      <w:pPr>
        <w:pStyle w:val="Heading1"/>
      </w:pPr>
      <w:r>
        <w:t>Discussion Guidelines</w:t>
      </w:r>
    </w:p>
    <w:p>
      <w:r>
        <w:t>Identify what the text explicitly says, what the speaker infers, and what later historical evidence would be needed. Treat contested claims about religious groups or future enforcement as claims, not verified facts.</w:t>
      </w:r>
    </w:p>
    <w:sectPr w:rsidR="00FC693F" w:rsidRPr="0006063C" w:rsidSect="00034616">
      <w:footerReference w:type="default" r:id="rId9"/>
      <w:pgSz w:w="12240" w:h="15840"/>
      <w:pgMar w:top="1080" w:right="1181" w:bottom="1080"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6"/>
      </w:rPr>
      <w:t>Finding the Ancient Path  |  FTAP Teaching Resources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Theme="majorHAnsi" w:eastAsiaTheme="majorEastAsia" w:hAnsiTheme="majorHAnsi" w:cstheme="majorBidi" w:ascii="Aptos Display" w:hAnsi="Aptos Display"/>
      <w:b/>
      <w:bCs/>
      <w:color w:val="1A6C7A"/>
      <w:sz w:val="2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Aptos Display" w:hAnsi="Aptos Display"/>
      <w:b/>
      <w:bCs/>
      <w:color w:val="1A6C7A"/>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